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5019"/>
        </w:trPr>
        <w:tc>
          <w:tcPr>
            <w:tcW w:w="10207" w:type="dxa"/>
          </w:tcPr>
          <w:p w:rsidR="00000000" w:rsidRDefault="00FC4D29">
            <w:pPr>
              <w:pStyle w:val="berschrift1"/>
              <w:spacing w:before="240" w:after="120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8767445</wp:posOffset>
                      </wp:positionV>
                      <wp:extent cx="135255" cy="70866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708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C4D29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09/09-3.6.110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2.2pt;margin-top:690.35pt;width:10.65pt;height:5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" o:allowincell="f" stroked="f">
                      <v:textbox style="layout-flow:vertical;mso-layout-flow-alt:bottom-to-top" inset="0,0,0,0">
                        <w:txbxContent>
                          <w:p w:rsidR="00000000" w:rsidRDefault="00FC4D2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09/09-3.6.110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REGIERUNGSPRÄSIDIUM  STUTTGART</w:t>
            </w:r>
          </w:p>
          <w:p w:rsidR="00000000" w:rsidRDefault="00FC4D29">
            <w:pPr>
              <w:jc w:val="center"/>
              <w:rPr>
                <w:sz w:val="16"/>
              </w:rPr>
            </w:pPr>
          </w:p>
          <w:p w:rsidR="00000000" w:rsidRDefault="00FC4D29">
            <w:pPr>
              <w:spacing w:line="360" w:lineRule="auto"/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MERKBLATT  (F)</w:t>
            </w:r>
          </w:p>
          <w:p w:rsidR="00000000" w:rsidRDefault="00FC4D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ZUR DURCHFÜHRUNG DES </w:t>
            </w:r>
          </w:p>
          <w:p w:rsidR="00000000" w:rsidRDefault="00FC4D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DEUTSCH-FRANZÖSISCHEN SCHÜLERGRUPPENAUSTAUSCHES</w:t>
            </w:r>
          </w:p>
          <w:p w:rsidR="00000000" w:rsidRDefault="00FC4D29">
            <w:pPr>
              <w:jc w:val="center"/>
              <w:rPr>
                <w:b/>
                <w:sz w:val="14"/>
                <w:u w:val="single"/>
              </w:rPr>
            </w:pPr>
          </w:p>
          <w:p w:rsidR="00000000" w:rsidRDefault="00FC4D29">
            <w:pPr>
              <w:jc w:val="center"/>
              <w:rPr>
                <w:b/>
                <w:sz w:val="14"/>
                <w:u w:val="single"/>
              </w:rPr>
            </w:pPr>
          </w:p>
          <w:p w:rsidR="00000000" w:rsidRDefault="00FC4D29">
            <w:pPr>
              <w:jc w:val="center"/>
              <w:rPr>
                <w:b/>
                <w:sz w:val="14"/>
                <w:u w:val="single"/>
              </w:rPr>
            </w:pPr>
          </w:p>
          <w:p w:rsidR="00000000" w:rsidRDefault="00FC4D29">
            <w:pPr>
              <w:jc w:val="center"/>
              <w:rPr>
                <w:sz w:val="14"/>
              </w:rPr>
            </w:pPr>
          </w:p>
          <w:p w:rsidR="00000000" w:rsidRDefault="00FC4D29">
            <w:pPr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spacing w:line="360" w:lineRule="auto"/>
              <w:ind w:right="72"/>
              <w:jc w:val="both"/>
              <w:rPr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I.</w:t>
            </w:r>
            <w:r>
              <w:rPr>
                <w:b/>
                <w:sz w:val="18"/>
              </w:rPr>
              <w:tab/>
              <w:t>Allgemeines</w:t>
            </w:r>
          </w:p>
          <w:p w:rsidR="00000000" w:rsidRDefault="00FC4D29">
            <w:pPr>
              <w:tabs>
                <w:tab w:val="left" w:pos="426"/>
              </w:tabs>
              <w:ind w:left="624" w:right="72" w:hanging="62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Das Land Baden-Württemberg fördert zum Zwecke der deutsch-französischen Verständigung Gruppenaustausche deutscher</w:t>
            </w:r>
            <w:r>
              <w:rPr>
                <w:sz w:val="18"/>
              </w:rPr>
              <w:t xml:space="preserve"> Schüler mit französischen Schülern im Rahmen der außerunterrichtlichen Veranstaltungen entsprechend der Verwaltungsvorschrift des Ministeriums für Kultus, Jugend und Sport Baden-Württemberg vom 06.10.2002 (K.u.U. S. 324). Die Schülerzuschüsse werden vom D</w:t>
            </w:r>
            <w:r>
              <w:rPr>
                <w:sz w:val="18"/>
              </w:rPr>
              <w:t>eutsch-Französischen Jugendwerk (DFJW), die Reise</w:t>
            </w:r>
            <w:r>
              <w:rPr>
                <w:sz w:val="18"/>
              </w:rPr>
              <w:softHyphen/>
              <w:t>kostenvergütung für die Begleitpersonen vom Land Baden-Württemberg bereitg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stellt.</w:t>
            </w:r>
          </w:p>
          <w:p w:rsidR="00000000" w:rsidRDefault="00FC4D29">
            <w:pPr>
              <w:tabs>
                <w:tab w:val="left" w:pos="426"/>
              </w:tabs>
              <w:ind w:left="624" w:right="72" w:hanging="624"/>
              <w:jc w:val="both"/>
              <w:rPr>
                <w:sz w:val="14"/>
              </w:rPr>
            </w:pPr>
          </w:p>
          <w:p w:rsidR="00000000" w:rsidRDefault="00FC4D29">
            <w:pPr>
              <w:tabs>
                <w:tab w:val="left" w:pos="426"/>
              </w:tabs>
              <w:ind w:left="624" w:right="72" w:hanging="624"/>
              <w:jc w:val="both"/>
              <w:rPr>
                <w:b/>
                <w:sz w:val="18"/>
              </w:rPr>
            </w:pPr>
            <w:r>
              <w:rPr>
                <w:sz w:val="18"/>
              </w:rPr>
              <w:tab/>
              <w:t>2.</w:t>
            </w:r>
            <w:r>
              <w:rPr>
                <w:sz w:val="18"/>
              </w:rPr>
              <w:tab/>
              <w:t>Der deutsch-französische Schülergruppenaustausch basiert auf dem Grundsatz der Gegenseitigkeit, d.h. eine b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stehende o</w:t>
            </w:r>
            <w:r>
              <w:rPr>
                <w:sz w:val="18"/>
              </w:rPr>
              <w:t>der beginnende Schulpartnerschaft ist notwendig. Das Austauschprogramm, das im Unterricht sorgfältig vorbereitet und nach der Rückkehr der Schüler ausgewertet werden muss, ist so zu gestalten, dass ein echter Ko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takt zwischen den deutschen und französische</w:t>
            </w:r>
            <w:r>
              <w:rPr>
                <w:sz w:val="18"/>
              </w:rPr>
              <w:t>n Schülern gewährleistet ist. Der Austausch sollte zeitlich so gelegt werden, dass die Gruppen bzw. Klassen Gelegenheit haben, mehrere Tage am Unterricht der Partnerschule teilz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>nehmen. Darüber hinaus sind die in den allgemeinen Richtlinien des DFJW formul</w:t>
            </w:r>
            <w:r>
              <w:rPr>
                <w:sz w:val="18"/>
              </w:rPr>
              <w:t>ierten Grundsätze, Gedanken und B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stimmungen bei der Planung und Durchführung der Programme zu beachten.</w:t>
            </w:r>
          </w:p>
          <w:p w:rsidR="00000000" w:rsidRDefault="00FC4D29">
            <w:pPr>
              <w:tabs>
                <w:tab w:val="left" w:pos="426"/>
              </w:tabs>
              <w:ind w:left="624" w:right="72" w:hanging="624"/>
              <w:jc w:val="both"/>
              <w:rPr>
                <w:sz w:val="14"/>
              </w:rPr>
            </w:pPr>
          </w:p>
          <w:p w:rsidR="00000000" w:rsidRDefault="00FC4D29">
            <w:pPr>
              <w:tabs>
                <w:tab w:val="left" w:pos="426"/>
              </w:tabs>
              <w:ind w:left="624" w:right="72" w:hanging="624"/>
              <w:jc w:val="both"/>
              <w:rPr>
                <w:sz w:val="18"/>
              </w:rPr>
            </w:pPr>
            <w:r>
              <w:rPr>
                <w:sz w:val="18"/>
              </w:rPr>
              <w:tab/>
              <w:t>3.</w:t>
            </w:r>
            <w:r>
              <w:rPr>
                <w:sz w:val="18"/>
              </w:rPr>
              <w:tab/>
              <w:t xml:space="preserve">Der Schülergruppenaustausch kann i.d.R. mit Schülern ab Klasse 7 durchgeführt werden und zwischen 10 Tagen und 4 Wochen dauern, wobei Gruppen von </w:t>
            </w:r>
            <w:r>
              <w:rPr>
                <w:sz w:val="18"/>
              </w:rPr>
              <w:t>Schülern aus mehreren Klassen bis zu höchstens zwei Wochen Unte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richt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 xml:space="preserve">zeit in Anspruch nehmen können. </w:t>
            </w:r>
          </w:p>
          <w:p w:rsidR="00000000" w:rsidRDefault="00FC4D29">
            <w:pPr>
              <w:tabs>
                <w:tab w:val="left" w:pos="426"/>
              </w:tabs>
              <w:ind w:left="624" w:right="72" w:hanging="624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Der Austausch von sogenannten „Minigruppen“ mit einer Gruppenstärke von weniger als 10 Schülern oder mit einer Dauer von weniger als 10 Tagen kann nur </w:t>
            </w:r>
            <w:r>
              <w:rPr>
                <w:sz w:val="18"/>
              </w:rPr>
              <w:t>in begründeten Ausnahm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fällen durchgeführt werden.</w:t>
            </w:r>
          </w:p>
          <w:p w:rsidR="00000000" w:rsidRDefault="00FC4D29">
            <w:pPr>
              <w:tabs>
                <w:tab w:val="left" w:pos="426"/>
              </w:tabs>
              <w:ind w:left="624" w:right="72" w:hanging="624"/>
              <w:jc w:val="both"/>
              <w:rPr>
                <w:sz w:val="14"/>
              </w:rPr>
            </w:pPr>
          </w:p>
          <w:p w:rsidR="00000000" w:rsidRDefault="00FC4D29">
            <w:pPr>
              <w:tabs>
                <w:tab w:val="left" w:pos="426"/>
              </w:tabs>
              <w:ind w:left="624" w:right="72" w:hanging="624"/>
              <w:jc w:val="both"/>
              <w:rPr>
                <w:sz w:val="18"/>
              </w:rPr>
            </w:pPr>
            <w:r>
              <w:rPr>
                <w:sz w:val="18"/>
              </w:rPr>
              <w:tab/>
              <w:t>4.</w:t>
            </w:r>
            <w:r>
              <w:rPr>
                <w:sz w:val="18"/>
              </w:rPr>
              <w:tab/>
              <w:t>Die Mindestdauer für eine aus Mitteln des DFJW geförderte Maßnahme beträgt 4 Tage, die Höchstförderdauer 21 Tage. Zwischen dem Tag der Ankunft am Programmort und dem Tag der Abreise von diesem Ort müs</w:t>
            </w:r>
            <w:r>
              <w:rPr>
                <w:sz w:val="18"/>
              </w:rPr>
              <w:t>sen mi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 xml:space="preserve">destens 3 volle Kalendertage liegen; Ankunfts- und Abreisetag werden pauschal zusammen als </w:t>
            </w:r>
            <w:r>
              <w:rPr>
                <w:b/>
                <w:sz w:val="18"/>
              </w:rPr>
              <w:t>ein</w:t>
            </w:r>
            <w:r>
              <w:rPr>
                <w:sz w:val="18"/>
              </w:rPr>
              <w:t xml:space="preserve"> Programmtag gerechnet.</w:t>
            </w:r>
          </w:p>
          <w:p w:rsidR="00000000" w:rsidRDefault="00FC4D29">
            <w:pPr>
              <w:tabs>
                <w:tab w:val="left" w:pos="426"/>
              </w:tabs>
              <w:ind w:left="624" w:right="72" w:hanging="624"/>
              <w:jc w:val="both"/>
              <w:rPr>
                <w:sz w:val="14"/>
              </w:rPr>
            </w:pPr>
          </w:p>
          <w:p w:rsidR="00000000" w:rsidRDefault="00FC4D29">
            <w:pPr>
              <w:tabs>
                <w:tab w:val="left" w:pos="426"/>
              </w:tabs>
              <w:ind w:left="624" w:right="72" w:hanging="624"/>
              <w:jc w:val="both"/>
              <w:rPr>
                <w:sz w:val="18"/>
              </w:rPr>
            </w:pPr>
            <w:r>
              <w:rPr>
                <w:sz w:val="18"/>
              </w:rPr>
              <w:tab/>
              <w:t>5.</w:t>
            </w:r>
            <w:r>
              <w:rPr>
                <w:sz w:val="18"/>
              </w:rPr>
              <w:tab/>
              <w:t>Innerhalb von 4 Wochen nach Abschluss der Austauschmaßnahme ist dem Regierungspräsidium ein vollständig ausgefüllter Verwendun</w:t>
            </w:r>
            <w:r>
              <w:rPr>
                <w:sz w:val="18"/>
              </w:rPr>
              <w:t>gsnachweis (mit Erfahrungsbericht über den Verlauf der Maßnahme), sowie die von den Schülern unterschriebene Teilnehmerliste und Statistik auf den beiliegenden gelben Formblättern des DFJW vorz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 xml:space="preserve">legen. </w:t>
            </w:r>
          </w:p>
          <w:p w:rsidR="00000000" w:rsidRDefault="00FC4D29">
            <w:pPr>
              <w:tabs>
                <w:tab w:val="left" w:pos="426"/>
                <w:tab w:val="left" w:pos="737"/>
              </w:tabs>
              <w:ind w:left="737" w:right="72" w:hanging="737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ind w:left="737" w:right="72" w:hanging="737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ind w:left="737" w:right="72" w:hanging="737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spacing w:line="360" w:lineRule="auto"/>
              <w:ind w:left="737" w:right="72" w:hanging="737"/>
              <w:jc w:val="both"/>
              <w:rPr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II.</w:t>
            </w:r>
            <w:r>
              <w:rPr>
                <w:b/>
                <w:sz w:val="18"/>
              </w:rPr>
              <w:tab/>
              <w:t>Vorbereitung und Genehmigung</w:t>
            </w:r>
          </w:p>
          <w:p w:rsidR="00000000" w:rsidRDefault="00FC4D29">
            <w:pPr>
              <w:tabs>
                <w:tab w:val="left" w:pos="426"/>
              </w:tabs>
              <w:ind w:left="624" w:right="72" w:hanging="624"/>
              <w:jc w:val="both"/>
              <w:rPr>
                <w:sz w:val="18"/>
              </w:rPr>
            </w:pPr>
            <w:r>
              <w:rPr>
                <w:sz w:val="18"/>
              </w:rPr>
              <w:tab/>
              <w:t>1.</w:t>
            </w:r>
            <w:r>
              <w:rPr>
                <w:sz w:val="18"/>
              </w:rPr>
              <w:tab/>
              <w:t>Um dem Regier</w:t>
            </w:r>
            <w:r>
              <w:rPr>
                <w:sz w:val="18"/>
              </w:rPr>
              <w:t xml:space="preserve">ungspräsidium eine Kalkulation der benötigten Haushaltsmittel für die Reisekostenvergütung der Begleitlehrer zu ermöglichen, ist von der Schule bis spätestens </w:t>
            </w:r>
            <w:r>
              <w:rPr>
                <w:b/>
                <w:sz w:val="18"/>
              </w:rPr>
              <w:t>15. Dezember des Vorjahres</w:t>
            </w:r>
            <w:r>
              <w:rPr>
                <w:sz w:val="18"/>
              </w:rPr>
              <w:t xml:space="preserve"> der geplante Schüle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 xml:space="preserve">gruppenaustausch mit beiliegendem Formblatt (A/F) </w:t>
            </w:r>
            <w:r>
              <w:rPr>
                <w:sz w:val="18"/>
              </w:rPr>
              <w:t>anzuzeigen. Die Einhaltung dieses Termins ist unerlässlich, damit das Regierungspräsidium den Schulen rechtzeitig vor Beginn der Austauschmaßnahme eine Förderungsz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>sage übersenden kann, bzw. bei einer die Haushaltsmittel übersteigenden Anzahl geplanter Aus</w:t>
            </w:r>
            <w:r>
              <w:rPr>
                <w:sz w:val="18"/>
              </w:rPr>
              <w:t>tausche eine en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sprechende Able</w:t>
            </w:r>
            <w:r>
              <w:rPr>
                <w:sz w:val="18"/>
              </w:rPr>
              <w:t>h</w:t>
            </w:r>
            <w:r>
              <w:rPr>
                <w:sz w:val="18"/>
              </w:rPr>
              <w:t xml:space="preserve">nung. </w:t>
            </w:r>
          </w:p>
          <w:p w:rsidR="00000000" w:rsidRDefault="00FC4D29">
            <w:pPr>
              <w:tabs>
                <w:tab w:val="left" w:pos="426"/>
              </w:tabs>
              <w:ind w:left="624" w:right="72" w:hanging="624"/>
              <w:jc w:val="both"/>
              <w:rPr>
                <w:sz w:val="14"/>
              </w:rPr>
            </w:pPr>
          </w:p>
          <w:p w:rsidR="00000000" w:rsidRDefault="00FC4D29">
            <w:pPr>
              <w:tabs>
                <w:tab w:val="left" w:pos="426"/>
              </w:tabs>
              <w:ind w:left="624" w:right="72" w:hanging="624"/>
              <w:jc w:val="both"/>
              <w:rPr>
                <w:sz w:val="18"/>
              </w:rPr>
            </w:pPr>
            <w:r>
              <w:rPr>
                <w:sz w:val="18"/>
              </w:rPr>
              <w:tab/>
              <w:t>2.</w:t>
            </w:r>
            <w:r>
              <w:rPr>
                <w:sz w:val="18"/>
              </w:rPr>
              <w:tab/>
              <w:t>Angesichts der begrenzten Haushaltsmittel kann neben dem verantwortlichen Begleitlehrer einer 2. Begleitperson nur bei einer Gruppenstärke von mehr als 20 Schülern Reisekostenvergütung gewährt werden, einer 3. Be</w:t>
            </w:r>
            <w:r>
              <w:rPr>
                <w:sz w:val="18"/>
              </w:rPr>
              <w:t>gleitpe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son nur bei einer Gruppe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 xml:space="preserve">stärke von mehr als 40 Schülern. </w:t>
            </w:r>
          </w:p>
          <w:p w:rsidR="00000000" w:rsidRDefault="00FC4D29">
            <w:pPr>
              <w:tabs>
                <w:tab w:val="left" w:pos="426"/>
              </w:tabs>
              <w:ind w:left="624" w:right="72" w:hanging="624"/>
              <w:jc w:val="both"/>
              <w:rPr>
                <w:sz w:val="14"/>
              </w:rPr>
            </w:pPr>
          </w:p>
          <w:p w:rsidR="00000000" w:rsidRDefault="00FC4D29">
            <w:pPr>
              <w:tabs>
                <w:tab w:val="left" w:pos="426"/>
              </w:tabs>
              <w:ind w:left="624" w:right="72" w:hanging="624"/>
              <w:jc w:val="both"/>
              <w:rPr>
                <w:sz w:val="18"/>
              </w:rPr>
            </w:pPr>
            <w:r>
              <w:rPr>
                <w:sz w:val="18"/>
              </w:rPr>
              <w:tab/>
              <w:t>3.</w:t>
            </w:r>
            <w:r>
              <w:rPr>
                <w:sz w:val="18"/>
              </w:rPr>
              <w:tab/>
              <w:t>Die Eltern sind darauf hinzuweisen, dass bei rein privaten Tätigkeiten der Schüler im Ausland kein Versicherung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 xml:space="preserve">schutz besteht. Ein Versicherungsschutz für diesen Zweck kann durch den </w:t>
            </w:r>
            <w:r>
              <w:rPr>
                <w:sz w:val="18"/>
              </w:rPr>
              <w:t>rechtzeitigen Abschluss der freiwilligen Schüler-Zusatzversicherung herbeigeführt werden (vgl. Verwaltungsvorschrift über die freiwillige Schüler-Zusatzversicherung vom 08.10.1998, K.u.U. S. 310).</w:t>
            </w:r>
          </w:p>
          <w:p w:rsidR="00000000" w:rsidRDefault="00FC4D29">
            <w:pPr>
              <w:tabs>
                <w:tab w:val="left" w:pos="426"/>
              </w:tabs>
              <w:ind w:left="624" w:right="72" w:hanging="624"/>
              <w:jc w:val="both"/>
              <w:rPr>
                <w:sz w:val="14"/>
              </w:rPr>
            </w:pPr>
          </w:p>
          <w:p w:rsidR="00000000" w:rsidRDefault="00FC4D29">
            <w:pPr>
              <w:tabs>
                <w:tab w:val="left" w:pos="426"/>
              </w:tabs>
              <w:ind w:left="624" w:right="72" w:hanging="624"/>
              <w:jc w:val="both"/>
              <w:rPr>
                <w:sz w:val="18"/>
              </w:rPr>
            </w:pPr>
            <w:r>
              <w:rPr>
                <w:sz w:val="18"/>
              </w:rPr>
              <w:tab/>
              <w:t>4.</w:t>
            </w:r>
            <w:r>
              <w:rPr>
                <w:sz w:val="18"/>
              </w:rPr>
              <w:tab/>
              <w:t xml:space="preserve">Die Austauschmaßnahmen werden vom Schulleiter mit dem </w:t>
            </w:r>
            <w:r>
              <w:rPr>
                <w:sz w:val="18"/>
              </w:rPr>
              <w:t>beiliegenden Formblatt (G) genehmigt. Die Genehm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gung ist nur möglich, wenn das Regierungspräsidium Stuttgart eine Förderungszusage erteilt hat, es sei denn, die teilnehmenden Lehrer und Beglei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 xml:space="preserve">personen verzichten auf Reisekostenvergütung. </w:t>
            </w:r>
          </w:p>
          <w:p w:rsidR="00000000" w:rsidRDefault="00FC4D29">
            <w:pPr>
              <w:tabs>
                <w:tab w:val="left" w:pos="426"/>
                <w:tab w:val="left" w:pos="737"/>
              </w:tabs>
              <w:ind w:left="737" w:right="72" w:hanging="737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624"/>
              </w:tabs>
              <w:ind w:left="964" w:right="72" w:hanging="964"/>
              <w:jc w:val="both"/>
              <w:rPr>
                <w:sz w:val="22"/>
              </w:rPr>
            </w:pPr>
          </w:p>
        </w:tc>
      </w:tr>
    </w:tbl>
    <w:p w:rsidR="00000000" w:rsidRDefault="00FC4D29">
      <w:pPr>
        <w:tabs>
          <w:tab w:val="left" w:pos="6946"/>
        </w:tabs>
        <w:jc w:val="both"/>
        <w:rPr>
          <w:sz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5040"/>
        </w:trPr>
        <w:tc>
          <w:tcPr>
            <w:tcW w:w="10005" w:type="dxa"/>
          </w:tcPr>
          <w:p w:rsidR="00000000" w:rsidRDefault="00FC4D29">
            <w:pPr>
              <w:tabs>
                <w:tab w:val="left" w:pos="426"/>
                <w:tab w:val="left" w:pos="737"/>
              </w:tabs>
              <w:ind w:left="1134" w:right="84" w:hanging="1134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ind w:left="737" w:right="72" w:hanging="737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spacing w:line="360" w:lineRule="auto"/>
              <w:ind w:left="737" w:right="72" w:hanging="737"/>
              <w:jc w:val="both"/>
              <w:rPr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III.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b/>
                <w:sz w:val="18"/>
              </w:rPr>
              <w:t>Rei</w:t>
            </w:r>
            <w:r>
              <w:rPr>
                <w:b/>
                <w:sz w:val="18"/>
              </w:rPr>
              <w:t>sekostenvergütung für Lehrer und Begleitpersonen</w:t>
            </w:r>
          </w:p>
          <w:p w:rsidR="00000000" w:rsidRDefault="00FC4D29">
            <w:pPr>
              <w:tabs>
                <w:tab w:val="left" w:pos="426"/>
              </w:tabs>
              <w:spacing w:line="360" w:lineRule="auto"/>
              <w:ind w:left="624" w:right="72" w:hanging="624"/>
              <w:jc w:val="both"/>
              <w:rPr>
                <w:sz w:val="18"/>
              </w:rPr>
            </w:pPr>
            <w:r>
              <w:rPr>
                <w:sz w:val="18"/>
              </w:rPr>
              <w:tab/>
              <w:t>1.</w:t>
            </w:r>
            <w:r>
              <w:rPr>
                <w:sz w:val="18"/>
              </w:rPr>
              <w:tab/>
              <w:t>Dem verantwortlichen Lehrer und den nach II.2.  zulässigen Begleitpersonen werden auf Antrag erstattet:</w:t>
            </w:r>
          </w:p>
          <w:p w:rsidR="00000000" w:rsidRDefault="00FC4D29">
            <w:pPr>
              <w:tabs>
                <w:tab w:val="left" w:pos="426"/>
                <w:tab w:val="left" w:pos="624"/>
              </w:tabs>
              <w:ind w:left="964" w:right="72" w:hanging="964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1.1</w:t>
            </w:r>
            <w:r>
              <w:rPr>
                <w:sz w:val="18"/>
              </w:rPr>
              <w:tab/>
              <w:t xml:space="preserve">die </w:t>
            </w:r>
            <w:r>
              <w:rPr>
                <w:b/>
                <w:sz w:val="18"/>
              </w:rPr>
              <w:t>nachgewiesenen</w:t>
            </w:r>
            <w:r>
              <w:rPr>
                <w:sz w:val="18"/>
              </w:rPr>
              <w:t xml:space="preserve"> notwendigen Fahrkosten bis zur Höhe der Kosten für Fahrausweise II. Klasse</w:t>
            </w:r>
            <w:r>
              <w:rPr>
                <w:sz w:val="18"/>
              </w:rPr>
              <w:t xml:space="preserve"> im</w:t>
            </w:r>
          </w:p>
          <w:p w:rsidR="00000000" w:rsidRDefault="00FC4D29">
            <w:pPr>
              <w:tabs>
                <w:tab w:val="left" w:pos="426"/>
                <w:tab w:val="left" w:pos="624"/>
              </w:tabs>
              <w:ind w:left="964" w:right="72" w:hanging="964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Eisenbahnverkehr mit Frankreich, </w:t>
            </w:r>
          </w:p>
          <w:p w:rsidR="00000000" w:rsidRDefault="00FC4D29">
            <w:pPr>
              <w:tabs>
                <w:tab w:val="left" w:pos="426"/>
                <w:tab w:val="left" w:pos="737"/>
              </w:tabs>
              <w:ind w:left="1134" w:right="72" w:hanging="1134"/>
              <w:jc w:val="both"/>
              <w:rPr>
                <w:sz w:val="14"/>
              </w:rPr>
            </w:pPr>
          </w:p>
          <w:p w:rsidR="00000000" w:rsidRDefault="00FC4D29">
            <w:pPr>
              <w:tabs>
                <w:tab w:val="left" w:pos="426"/>
                <w:tab w:val="left" w:pos="624"/>
              </w:tabs>
              <w:ind w:left="964" w:right="72" w:hanging="964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1.2</w:t>
            </w:r>
            <w:r>
              <w:rPr>
                <w:sz w:val="18"/>
              </w:rPr>
              <w:tab/>
              <w:t>gemäß § 17 LRKG anstelle des Tage- und Übernachtungsgeldes (§§ 9 und 10 LRKG) für die Reise- und Au</w:t>
            </w:r>
            <w:r>
              <w:rPr>
                <w:sz w:val="18"/>
              </w:rPr>
              <w:t>f</w:t>
            </w:r>
            <w:r>
              <w:rPr>
                <w:sz w:val="18"/>
              </w:rPr>
              <w:t>enthaltst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 xml:space="preserve">ge eine Aufwandsvergütung in Höhe von </w:t>
            </w:r>
            <w:r>
              <w:rPr>
                <w:sz w:val="18"/>
              </w:rPr>
              <w:t>14,50 € pro Tag.</w:t>
            </w:r>
          </w:p>
          <w:p w:rsidR="00000000" w:rsidRDefault="00FC4D29">
            <w:pPr>
              <w:tabs>
                <w:tab w:val="left" w:pos="426"/>
                <w:tab w:val="left" w:pos="737"/>
              </w:tabs>
              <w:ind w:left="1134" w:right="84" w:hanging="1134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ind w:left="624" w:right="84" w:hanging="624"/>
              <w:jc w:val="both"/>
              <w:rPr>
                <w:sz w:val="18"/>
              </w:rPr>
            </w:pPr>
            <w:r>
              <w:rPr>
                <w:sz w:val="18"/>
              </w:rPr>
              <w:tab/>
              <w:t>2.</w:t>
            </w:r>
            <w:r>
              <w:rPr>
                <w:sz w:val="18"/>
              </w:rPr>
              <w:tab/>
              <w:t xml:space="preserve">Freiplätze für Gruppenreisebegleiter bei Bahn- und Busreisen sind grundsätzlich vom verantwortlichen Lehrer oder einer nach II.2.  zulässigen Begleitperson in Anspruch zu nehmen. </w:t>
            </w:r>
          </w:p>
          <w:p w:rsidR="00000000" w:rsidRDefault="00FC4D29">
            <w:pPr>
              <w:tabs>
                <w:tab w:val="left" w:pos="426"/>
                <w:tab w:val="left" w:pos="737"/>
              </w:tabs>
              <w:ind w:left="624" w:right="84" w:hanging="624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Finanzielle Förderungen und Zuschüsse dritter Stelle</w:t>
            </w:r>
            <w:r>
              <w:rPr>
                <w:sz w:val="18"/>
              </w:rPr>
              <w:t>n sind grundsätzlich auszuschöpfen und von den Reiseko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ten abzusetzen.</w:t>
            </w:r>
          </w:p>
          <w:p w:rsidR="00000000" w:rsidRDefault="00FC4D29">
            <w:pPr>
              <w:tabs>
                <w:tab w:val="left" w:pos="426"/>
                <w:tab w:val="left" w:pos="737"/>
              </w:tabs>
              <w:ind w:left="624" w:right="84" w:hanging="624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ind w:left="624" w:right="84" w:hanging="624"/>
              <w:jc w:val="both"/>
              <w:rPr>
                <w:sz w:val="18"/>
              </w:rPr>
            </w:pPr>
            <w:r>
              <w:rPr>
                <w:sz w:val="18"/>
              </w:rPr>
              <w:tab/>
              <w:t>3.</w:t>
            </w:r>
            <w:r>
              <w:rPr>
                <w:sz w:val="18"/>
              </w:rPr>
              <w:tab/>
              <w:t>Die Reisekostenvergütung ist beim Regierungspräsidium Stuttgart mit dem beiliegenden Formblatt (R) möglichst unve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 xml:space="preserve">züglich nach durchgeführter Austauschmaßnahme zu beantragen. </w:t>
            </w:r>
          </w:p>
          <w:p w:rsidR="00000000" w:rsidRDefault="00FC4D29">
            <w:pPr>
              <w:tabs>
                <w:tab w:val="left" w:pos="426"/>
                <w:tab w:val="left" w:pos="737"/>
              </w:tabs>
              <w:ind w:left="624" w:right="84" w:hanging="624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Di</w:t>
            </w:r>
            <w:r>
              <w:rPr>
                <w:sz w:val="18"/>
              </w:rPr>
              <w:t>enstreisegenehmigung (G) und die erforderlichen Belege (Fahrkarten, Sammelfahrschein, Busrechnung, u.ä.) sind beizufügen.</w:t>
            </w:r>
          </w:p>
          <w:p w:rsidR="00000000" w:rsidRDefault="00FC4D29">
            <w:pPr>
              <w:tabs>
                <w:tab w:val="left" w:pos="426"/>
                <w:tab w:val="left" w:pos="737"/>
              </w:tabs>
              <w:ind w:left="709" w:right="84" w:hanging="709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ind w:left="709" w:right="84" w:hanging="709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spacing w:line="360" w:lineRule="auto"/>
              <w:ind w:left="709" w:right="84" w:hanging="709"/>
              <w:jc w:val="both"/>
              <w:rPr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IV</w:t>
            </w:r>
            <w:r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ab/>
              <w:t>Schülerzuschüsse</w:t>
            </w:r>
          </w:p>
          <w:p w:rsidR="00000000" w:rsidRDefault="00FC4D29">
            <w:pPr>
              <w:tabs>
                <w:tab w:val="left" w:pos="426"/>
                <w:tab w:val="left" w:pos="737"/>
              </w:tabs>
              <w:ind w:left="624" w:right="84" w:hanging="624"/>
              <w:jc w:val="both"/>
              <w:rPr>
                <w:sz w:val="18"/>
              </w:rPr>
            </w:pPr>
            <w:r>
              <w:rPr>
                <w:sz w:val="18"/>
              </w:rPr>
              <w:tab/>
              <w:t>1.</w:t>
            </w:r>
            <w:r>
              <w:rPr>
                <w:sz w:val="18"/>
              </w:rPr>
              <w:tab/>
              <w:t xml:space="preserve">Eine Schule im </w:t>
            </w:r>
            <w:r>
              <w:rPr>
                <w:b/>
                <w:sz w:val="18"/>
              </w:rPr>
              <w:t>allgemeinbildenden Schulbereich</w:t>
            </w:r>
            <w:r>
              <w:rPr>
                <w:sz w:val="18"/>
              </w:rPr>
              <w:t xml:space="preserve"> kann einen Zuschuss zu den Fahr- und Aufenthaltskosten der </w:t>
            </w:r>
            <w:r>
              <w:rPr>
                <w:sz w:val="18"/>
              </w:rPr>
              <w:t xml:space="preserve">Schüler grundsätzlich nur alle 2 Jahre und jeweils nur für höchstens 35 Schüler erhalten. </w:t>
            </w:r>
          </w:p>
          <w:p w:rsidR="00000000" w:rsidRDefault="00FC4D29">
            <w:pPr>
              <w:tabs>
                <w:tab w:val="left" w:pos="426"/>
                <w:tab w:val="left" w:pos="737"/>
              </w:tabs>
              <w:ind w:left="624" w:right="84" w:hanging="624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Hier sind zu unterscheiden:</w:t>
            </w:r>
          </w:p>
          <w:p w:rsidR="00000000" w:rsidRDefault="00FC4D29">
            <w:pPr>
              <w:tabs>
                <w:tab w:val="left" w:pos="426"/>
                <w:tab w:val="left" w:pos="624"/>
              </w:tabs>
              <w:spacing w:before="120"/>
              <w:ind w:left="964" w:right="85" w:hanging="964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1.1</w:t>
            </w:r>
            <w:r>
              <w:rPr>
                <w:sz w:val="18"/>
              </w:rPr>
              <w:tab/>
              <w:t xml:space="preserve">Zuschussanträge, mit denen lediglich </w:t>
            </w:r>
            <w:r>
              <w:rPr>
                <w:b/>
                <w:sz w:val="18"/>
              </w:rPr>
              <w:t>Fahrkosten</w:t>
            </w:r>
            <w:r>
              <w:rPr>
                <w:sz w:val="18"/>
              </w:rPr>
              <w:t xml:space="preserve"> geltend gemacht werden.</w:t>
            </w:r>
          </w:p>
          <w:p w:rsidR="00000000" w:rsidRDefault="00FC4D29">
            <w:pPr>
              <w:tabs>
                <w:tab w:val="left" w:pos="426"/>
                <w:tab w:val="left" w:pos="624"/>
              </w:tabs>
              <w:ind w:left="964" w:right="85" w:hanging="964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Diese Anträge sind auf dem beiliegenden Formblatt (A/F</w:t>
            </w:r>
            <w:r>
              <w:rPr>
                <w:sz w:val="18"/>
              </w:rPr>
              <w:t>) bis zum 15.12. des Vorjahres dem Regierungspr</w:t>
            </w:r>
            <w:r>
              <w:rPr>
                <w:sz w:val="18"/>
              </w:rPr>
              <w:t>ä</w:t>
            </w:r>
            <w:r>
              <w:rPr>
                <w:sz w:val="18"/>
              </w:rPr>
              <w:t>sidium vorzulegen. Das Ministerium für Kultus, Jugend und Sport Baden-Württemberg legt an Hand der 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 xml:space="preserve">samtzahl der vorliegenden Anträge und der vom DFJW bereitgestellten Haushaltsmittel die Zuschüsse fest. </w:t>
            </w:r>
          </w:p>
          <w:p w:rsidR="00000000" w:rsidRDefault="00FC4D29">
            <w:pPr>
              <w:tabs>
                <w:tab w:val="left" w:pos="426"/>
                <w:tab w:val="left" w:pos="624"/>
              </w:tabs>
              <w:ind w:left="964" w:right="85" w:hanging="964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Soweit der Bedarf für alle fristgerecht vorgelegten und förderungswürdigen Begegnungsmaßnahmen höher ist als die vom DFJW bereitgestellten Haushaltsmittel, wird vom Kultusministerium ein bestimmter Betrag als E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genbeteiligung je Teilnehmer festgelegt. Jed</w:t>
            </w:r>
            <w:r>
              <w:rPr>
                <w:sz w:val="18"/>
              </w:rPr>
              <w:t xml:space="preserve">e förderungswürdige Begegnungsmaßnahme erhält einen </w:t>
            </w:r>
            <w:r>
              <w:rPr>
                <w:b/>
                <w:sz w:val="18"/>
              </w:rPr>
              <w:t xml:space="preserve">Grundzuschuss (Sockelbetrag) von </w:t>
            </w:r>
            <w:r>
              <w:rPr>
                <w:b/>
                <w:sz w:val="18"/>
              </w:rPr>
              <w:t>260 €</w:t>
            </w:r>
            <w:r>
              <w:rPr>
                <w:sz w:val="18"/>
              </w:rPr>
              <w:t>.</w:t>
            </w:r>
          </w:p>
          <w:p w:rsidR="00000000" w:rsidRDefault="00FC4D29">
            <w:pPr>
              <w:tabs>
                <w:tab w:val="left" w:pos="426"/>
                <w:tab w:val="left" w:pos="624"/>
              </w:tabs>
              <w:ind w:left="964" w:right="85" w:hanging="964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Mit den noch verbleibenden Mitteln des DFJW werden diejenigen Maßnahmen prozentual aufgestockt, die nach der Fahrkostentabelle (abzüglich Eigenbeteiligung) über dem Grundzuschuss von 260 € liegen. Diese Fahrkostentabelle ist nach Entfernungen in </w:t>
            </w:r>
            <w:r>
              <w:rPr>
                <w:sz w:val="18"/>
              </w:rPr>
              <w:t xml:space="preserve">Frankreich (Akademiebezirken) gestaffelt. </w:t>
            </w:r>
          </w:p>
          <w:p w:rsidR="00000000" w:rsidRDefault="00FC4D29">
            <w:pPr>
              <w:tabs>
                <w:tab w:val="left" w:pos="426"/>
                <w:tab w:val="left" w:pos="624"/>
              </w:tabs>
              <w:spacing w:before="120"/>
              <w:ind w:left="964" w:right="85" w:hanging="964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1.2</w:t>
            </w:r>
            <w:r>
              <w:rPr>
                <w:sz w:val="18"/>
              </w:rPr>
              <w:tab/>
              <w:t>Zuschussanträge, mit denen Fahrkosten und Aufenthaltskosten für die Schüler geltend gemacht werden, weil</w:t>
            </w:r>
          </w:p>
          <w:p w:rsidR="00000000" w:rsidRDefault="00FC4D29">
            <w:pPr>
              <w:tabs>
                <w:tab w:val="left" w:pos="426"/>
                <w:tab w:val="left" w:pos="624"/>
              </w:tabs>
              <w:spacing w:before="60"/>
              <w:ind w:left="964" w:right="85" w:hanging="964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a) eine Unterbringung der deutschen Schüler bei französischen Gasteltern nicht möglich ist, oder</w:t>
            </w:r>
          </w:p>
          <w:p w:rsidR="00000000" w:rsidRDefault="00FC4D29">
            <w:pPr>
              <w:tabs>
                <w:tab w:val="left" w:pos="426"/>
                <w:tab w:val="left" w:pos="624"/>
              </w:tabs>
              <w:spacing w:before="60"/>
              <w:ind w:left="964" w:right="85" w:hanging="964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b) eine Begegnungsmaßnahme mit französischen Schülern an einem 3. Ort in Deutschland stattfindet.</w:t>
            </w:r>
          </w:p>
          <w:p w:rsidR="00000000" w:rsidRDefault="00FC4D29">
            <w:pPr>
              <w:tabs>
                <w:tab w:val="left" w:pos="426"/>
                <w:tab w:val="left" w:pos="624"/>
              </w:tabs>
              <w:spacing w:before="60"/>
              <w:ind w:left="964" w:right="85" w:hanging="964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In diesen Fällen sind die Anträge bereits bis zum 1.11. des Vorjahres beim Regierungspräsidium auf dem beiliegenden roten Formblatt (DFJW) einzureichen. D</w:t>
            </w:r>
            <w:r>
              <w:rPr>
                <w:sz w:val="18"/>
              </w:rPr>
              <w:t xml:space="preserve">as Regierungspräsidium prüft diese Anträge und legt sie anschließend dem DFJW zur Entscheidung über die Bewilligung eines Zuschusses nach Richtlinien des DFJW vor. </w:t>
            </w:r>
          </w:p>
          <w:p w:rsidR="00000000" w:rsidRDefault="00FC4D29">
            <w:pPr>
              <w:tabs>
                <w:tab w:val="left" w:pos="426"/>
                <w:tab w:val="left" w:pos="737"/>
              </w:tabs>
              <w:ind w:left="709" w:right="84" w:hanging="709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ind w:left="709" w:right="84" w:hanging="709"/>
              <w:jc w:val="both"/>
              <w:rPr>
                <w:sz w:val="18"/>
              </w:rPr>
            </w:pPr>
            <w:r>
              <w:rPr>
                <w:sz w:val="18"/>
              </w:rPr>
              <w:tab/>
              <w:t>2.</w:t>
            </w:r>
            <w:r>
              <w:rPr>
                <w:sz w:val="18"/>
              </w:rPr>
              <w:tab/>
              <w:t>Im beruflichen Schulbereich ist ein Zuschuss des DFJW zu den Fahr- und Aufenthaltskost</w:t>
            </w:r>
            <w:r>
              <w:rPr>
                <w:sz w:val="18"/>
              </w:rPr>
              <w:t>en jährlich möglich. Die beruflichen Schulen beantragen beim Regierungspräsidium die Schülerzuschüsse auf dem beiliegenden r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>ten Formblatt (DFJW) bis zum 1.11. des Vorjahres. Das Regierungspräsidium legt diese Anträge nach Prüfung dem DFJW zur En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scheidung</w:t>
            </w:r>
            <w:r>
              <w:rPr>
                <w:sz w:val="18"/>
              </w:rPr>
              <w:t xml:space="preserve"> über die Bewilligung eines Zuschusses vor.</w:t>
            </w:r>
          </w:p>
          <w:p w:rsidR="00000000" w:rsidRDefault="00FC4D29">
            <w:pPr>
              <w:tabs>
                <w:tab w:val="left" w:pos="426"/>
                <w:tab w:val="left" w:pos="737"/>
              </w:tabs>
              <w:ind w:left="709" w:right="84" w:hanging="709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ind w:left="709" w:right="84" w:hanging="709"/>
              <w:jc w:val="both"/>
              <w:rPr>
                <w:sz w:val="18"/>
              </w:rPr>
            </w:pPr>
            <w:r>
              <w:rPr>
                <w:sz w:val="18"/>
              </w:rPr>
              <w:tab/>
              <w:t>3.</w:t>
            </w:r>
            <w:r>
              <w:rPr>
                <w:sz w:val="18"/>
              </w:rPr>
              <w:tab/>
              <w:t>Es wird darauf hingewiesen, dass in allen Fällen bei der Festsetzung des Schülerzuschusses höchstens die im Zuschussantrag (A/F) gemeldete Teilnehmerzahl berücksichtigt werden kann.</w:t>
            </w:r>
          </w:p>
          <w:p w:rsidR="00000000" w:rsidRDefault="00FC4D29">
            <w:pPr>
              <w:tabs>
                <w:tab w:val="left" w:pos="426"/>
                <w:tab w:val="left" w:pos="737"/>
              </w:tabs>
              <w:ind w:left="709" w:right="84" w:hanging="709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ind w:left="709" w:right="84" w:hanging="709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ind w:left="709" w:right="84" w:hanging="709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ind w:left="709" w:right="84" w:hanging="709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ind w:left="709" w:hanging="709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ind w:left="709" w:hanging="709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426"/>
                <w:tab w:val="left" w:pos="737"/>
              </w:tabs>
              <w:ind w:left="709" w:hanging="709"/>
              <w:jc w:val="both"/>
              <w:rPr>
                <w:sz w:val="18"/>
              </w:rPr>
            </w:pPr>
          </w:p>
          <w:p w:rsidR="00000000" w:rsidRDefault="00FC4D29">
            <w:pPr>
              <w:tabs>
                <w:tab w:val="left" w:pos="6946"/>
              </w:tabs>
              <w:jc w:val="both"/>
              <w:rPr>
                <w:sz w:val="22"/>
              </w:rPr>
            </w:pPr>
          </w:p>
        </w:tc>
      </w:tr>
    </w:tbl>
    <w:p w:rsidR="00000000" w:rsidRDefault="00FC4D29">
      <w:pPr>
        <w:tabs>
          <w:tab w:val="left" w:pos="6946"/>
        </w:tabs>
        <w:jc w:val="both"/>
        <w:rPr>
          <w:sz w:val="2"/>
        </w:rPr>
      </w:pPr>
    </w:p>
    <w:sectPr w:rsidR="00000000">
      <w:pgSz w:w="11907" w:h="16840"/>
      <w:pgMar w:top="737" w:right="1021" w:bottom="993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29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Merkblatt 3.6.110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F7271D44-7261-4C99-ADA5-B849AE3B8AE5}"/>
</file>

<file path=customXml/itemProps2.xml><?xml version="1.0" encoding="utf-8"?>
<ds:datastoreItem xmlns:ds="http://schemas.openxmlformats.org/officeDocument/2006/customXml" ds:itemID="{6CACF921-FADC-4607-ABC8-2392F0E18B0E}"/>
</file>

<file path=customXml/itemProps3.xml><?xml version="1.0" encoding="utf-8"?>
<ds:datastoreItem xmlns:ds="http://schemas.openxmlformats.org/officeDocument/2006/customXml" ds:itemID="{D5923C10-4610-414A-84E3-B53401FBEB23}"/>
</file>

<file path=docProps/app.xml><?xml version="1.0" encoding="utf-8"?>
<Properties xmlns="http://schemas.openxmlformats.org/officeDocument/2006/extended-properties" xmlns:vt="http://schemas.openxmlformats.org/officeDocument/2006/docPropsVTypes">
  <Template>19103398.dotm</Template>
  <TotalTime>0</TotalTime>
  <Pages>2</Pages>
  <Words>1053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>Baden-Württemberg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3.6.110</dc:title>
  <dc:creator>Oberschulamt Stuttgart</dc:creator>
  <cp:lastModifiedBy>Küstner, Andreas (RPS)</cp:lastModifiedBy>
  <cp:revision>2</cp:revision>
  <cp:lastPrinted>2009-09-01T15:02:00Z</cp:lastPrinted>
  <dcterms:created xsi:type="dcterms:W3CDTF">2020-02-19T05:35:00Z</dcterms:created>
  <dcterms:modified xsi:type="dcterms:W3CDTF">2020-02-19T05:35:00Z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